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84"/>
        <w:gridCol w:w="2693"/>
      </w:tblGrid>
      <w:tr w:rsidR="007D5FC9" w:rsidRPr="009E2B84" w14:paraId="6A6C2E31" w14:textId="77777777" w:rsidTr="008F2FBB">
        <w:trPr>
          <w:gridAfter w:val="1"/>
          <w:wAfter w:w="2693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6A6C2E2F" w14:textId="77777777" w:rsidR="007D5FC9" w:rsidRPr="009E2B84" w:rsidRDefault="007D5FC9" w:rsidP="008F2FBB">
            <w:pPr>
              <w:keepNext/>
              <w:shd w:val="clear" w:color="auto" w:fill="BFBFBF"/>
              <w:ind w:left="426" w:hanging="426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A6C2EA7" wp14:editId="6A6C2EA8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6A6C2E30" w14:textId="77777777" w:rsidR="007D5FC9" w:rsidRPr="009E2B84" w:rsidRDefault="007D5FC9" w:rsidP="008F2FBB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7D5FC9" w:rsidRPr="009E2B84" w14:paraId="6A6C2E34" w14:textId="77777777" w:rsidTr="008F2FBB">
        <w:trPr>
          <w:gridAfter w:val="1"/>
          <w:wAfter w:w="2693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6A6C2E32" w14:textId="77777777" w:rsidR="007D5FC9" w:rsidRPr="009E2B84" w:rsidRDefault="007D5FC9" w:rsidP="008F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Governance Committee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A6C2E33" w14:textId="3775C46B" w:rsidR="007D5FC9" w:rsidRPr="00E467FE" w:rsidRDefault="007D5FC9" w:rsidP="00935B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  <w:bookmarkStart w:id="0" w:name="_GoBack"/>
            <w:bookmarkEnd w:id="0"/>
            <w:r>
              <w:rPr>
                <w:b/>
                <w:szCs w:val="22"/>
              </w:rPr>
              <w:t xml:space="preserve"> April 2018</w:t>
            </w:r>
          </w:p>
        </w:tc>
      </w:tr>
      <w:tr w:rsidR="007D5FC9" w:rsidRPr="009E2B84" w14:paraId="6A6C2E36" w14:textId="77777777" w:rsidTr="008F2FBB">
        <w:trPr>
          <w:gridAfter w:val="1"/>
          <w:wAfter w:w="2693" w:type="dxa"/>
          <w:cantSplit/>
          <w:trHeight w:val="560"/>
        </w:trPr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6A6C2E35" w14:textId="77777777" w:rsidR="007D5FC9" w:rsidRPr="009E2B84" w:rsidRDefault="007D5FC9" w:rsidP="008F2F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External Audit Annual </w:t>
            </w:r>
          </w:p>
        </w:tc>
      </w:tr>
      <w:tr w:rsidR="007D5FC9" w:rsidRPr="009E2B84" w14:paraId="6A6C2E39" w14:textId="77777777" w:rsidTr="008F2FBB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6A6C2E37" w14:textId="77777777" w:rsidR="007D5FC9" w:rsidRPr="009E2B84" w:rsidRDefault="007D5FC9" w:rsidP="008F2FBB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6A6C2E38" w14:textId="77777777" w:rsidR="007D5FC9" w:rsidRPr="009E2B84" w:rsidRDefault="007D5FC9" w:rsidP="008F2FBB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7D5FC9" w:rsidRPr="009E2B84" w14:paraId="6A6C2E3C" w14:textId="77777777" w:rsidTr="008F2FBB">
        <w:trPr>
          <w:cantSplit/>
          <w:trHeight w:val="1038"/>
        </w:trPr>
        <w:tc>
          <w:tcPr>
            <w:tcW w:w="6912" w:type="dxa"/>
            <w:gridSpan w:val="2"/>
            <w:vAlign w:val="center"/>
          </w:tcPr>
          <w:p w14:paraId="6A6C2E3A" w14:textId="77777777" w:rsidR="007D5FC9" w:rsidRPr="009E2B84" w:rsidRDefault="007D5FC9" w:rsidP="00AF723E">
            <w:pPr>
              <w:rPr>
                <w:b/>
              </w:rPr>
            </w:pPr>
            <w:r>
              <w:rPr>
                <w:b/>
              </w:rPr>
              <w:t>External Audit Plan</w:t>
            </w:r>
            <w:r w:rsidR="00741D04">
              <w:rPr>
                <w:b/>
              </w:rPr>
              <w:t xml:space="preserve"> 2017</w:t>
            </w:r>
            <w:r w:rsidR="00AF723E">
              <w:rPr>
                <w:b/>
              </w:rPr>
              <w:t>/</w:t>
            </w:r>
            <w:r w:rsidR="00741D04">
              <w:rPr>
                <w:b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14:paraId="6A6C2E3B" w14:textId="77777777" w:rsidR="007D5FC9" w:rsidRPr="00855A80" w:rsidRDefault="007D5FC9" w:rsidP="008F2FBB">
            <w:pPr>
              <w:tabs>
                <w:tab w:val="left" w:pos="2839"/>
              </w:tabs>
              <w:rPr>
                <w:b/>
                <w:i/>
              </w:rPr>
            </w:pPr>
            <w:r w:rsidRPr="00855A80">
              <w:rPr>
                <w:rFonts w:cs="Arial"/>
                <w:b/>
              </w:rPr>
              <w:t>Deputy Chief Executive (Resources &amp; Transformation)</w:t>
            </w:r>
          </w:p>
        </w:tc>
      </w:tr>
    </w:tbl>
    <w:p w14:paraId="6A6C2E3D" w14:textId="77777777" w:rsidR="007D5FC9" w:rsidRPr="009E2B84" w:rsidRDefault="007D5FC9" w:rsidP="007D5FC9"/>
    <w:p w14:paraId="6A6C2E3E" w14:textId="77777777" w:rsidR="007D5FC9" w:rsidRDefault="007D5FC9" w:rsidP="007D5FC9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7D5FC9" w:rsidRPr="009C1143" w14:paraId="6A6C2E44" w14:textId="77777777" w:rsidTr="008F2FBB">
        <w:trPr>
          <w:trHeight w:val="521"/>
        </w:trPr>
        <w:tc>
          <w:tcPr>
            <w:tcW w:w="6652" w:type="dxa"/>
            <w:shd w:val="clear" w:color="auto" w:fill="auto"/>
          </w:tcPr>
          <w:p w14:paraId="6A6C2E3F" w14:textId="77777777" w:rsidR="007D5FC9" w:rsidRDefault="007D5FC9" w:rsidP="008F2FBB">
            <w:pPr>
              <w:rPr>
                <w:szCs w:val="22"/>
              </w:rPr>
            </w:pPr>
          </w:p>
          <w:p w14:paraId="6A6C2E40" w14:textId="77777777" w:rsidR="007D5FC9" w:rsidRDefault="007D5FC9" w:rsidP="008F2FBB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  <w:p w14:paraId="6A6C2E41" w14:textId="77777777" w:rsidR="007D5FC9" w:rsidRPr="009C1143" w:rsidRDefault="007D5FC9" w:rsidP="008F2FBB">
            <w:pPr>
              <w:rPr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6A6C2E42" w14:textId="77777777" w:rsidR="007D5FC9" w:rsidRDefault="007D5FC9" w:rsidP="008F2FBB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 </w:t>
            </w:r>
          </w:p>
          <w:p w14:paraId="6A6C2E43" w14:textId="77777777" w:rsidR="007D5FC9" w:rsidRPr="009C1143" w:rsidRDefault="007D5FC9" w:rsidP="008F2FBB">
            <w:pPr>
              <w:rPr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</w:tc>
      </w:tr>
    </w:tbl>
    <w:p w14:paraId="6A6C2E45" w14:textId="77777777" w:rsidR="007D5FC9" w:rsidRDefault="007D5FC9" w:rsidP="007D5FC9">
      <w:pPr>
        <w:rPr>
          <w:sz w:val="16"/>
          <w:szCs w:val="16"/>
        </w:rPr>
      </w:pPr>
    </w:p>
    <w:p w14:paraId="6A6C2E46" w14:textId="77777777" w:rsidR="007D5FC9" w:rsidRPr="009C1143" w:rsidRDefault="007D5FC9" w:rsidP="007D5FC9">
      <w:pPr>
        <w:rPr>
          <w:sz w:val="16"/>
          <w:szCs w:val="16"/>
        </w:rPr>
      </w:pPr>
    </w:p>
    <w:p w14:paraId="6A6C2E47" w14:textId="77777777" w:rsidR="007D5FC9" w:rsidRDefault="007D5FC9" w:rsidP="007D5FC9">
      <w:pPr>
        <w:keepNext/>
        <w:numPr>
          <w:ilvl w:val="0"/>
          <w:numId w:val="1"/>
        </w:numPr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</w:t>
      </w:r>
    </w:p>
    <w:p w14:paraId="6A6C2E48" w14:textId="77777777" w:rsidR="007D5FC9" w:rsidRPr="009C1143" w:rsidRDefault="007D5FC9" w:rsidP="007D5FC9">
      <w:pPr>
        <w:keepNext/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 </w:t>
      </w:r>
    </w:p>
    <w:p w14:paraId="6A6C2E49" w14:textId="77777777" w:rsidR="007D5FC9" w:rsidRDefault="007D5FC9" w:rsidP="007D5FC9">
      <w:pPr>
        <w:keepNext/>
        <w:ind w:left="360"/>
        <w:outlineLvl w:val="0"/>
        <w:rPr>
          <w:color w:val="FF0000"/>
          <w:sz w:val="16"/>
          <w:szCs w:val="16"/>
        </w:rPr>
      </w:pPr>
      <w:r w:rsidRPr="00812229">
        <w:rPr>
          <w:szCs w:val="22"/>
        </w:rPr>
        <w:t>Grant Thornton will present the</w:t>
      </w:r>
      <w:r w:rsidR="0067440B">
        <w:rPr>
          <w:szCs w:val="22"/>
        </w:rPr>
        <w:t>ir</w:t>
      </w:r>
      <w:r w:rsidRPr="00812229">
        <w:rPr>
          <w:szCs w:val="22"/>
        </w:rPr>
        <w:t xml:space="preserve"> </w:t>
      </w:r>
      <w:r>
        <w:rPr>
          <w:szCs w:val="22"/>
        </w:rPr>
        <w:t xml:space="preserve">report on </w:t>
      </w:r>
      <w:r w:rsidR="0067440B">
        <w:rPr>
          <w:szCs w:val="22"/>
        </w:rPr>
        <w:t>the planned scope and timing of the statutory audit for the year ending 31 March 2018.</w:t>
      </w:r>
      <w:r w:rsidRPr="007D5FC9">
        <w:rPr>
          <w:color w:val="FF0000"/>
          <w:sz w:val="16"/>
          <w:szCs w:val="16"/>
        </w:rPr>
        <w:t xml:space="preserve"> </w:t>
      </w:r>
    </w:p>
    <w:p w14:paraId="6A6C2E4A" w14:textId="77777777" w:rsidR="0067440B" w:rsidRPr="007D5FC9" w:rsidRDefault="0067440B" w:rsidP="007D5FC9">
      <w:pPr>
        <w:keepNext/>
        <w:ind w:left="360"/>
        <w:outlineLvl w:val="0"/>
        <w:rPr>
          <w:color w:val="FF0000"/>
          <w:sz w:val="16"/>
          <w:szCs w:val="16"/>
        </w:rPr>
      </w:pPr>
    </w:p>
    <w:p w14:paraId="6A6C2E4B" w14:textId="77777777" w:rsidR="007D5FC9" w:rsidRPr="009C1143" w:rsidRDefault="007D5FC9" w:rsidP="007D5FC9">
      <w:pPr>
        <w:rPr>
          <w:szCs w:val="22"/>
        </w:rPr>
      </w:pPr>
    </w:p>
    <w:p w14:paraId="6A6C2E4C" w14:textId="77777777" w:rsidR="007D5FC9" w:rsidRDefault="007D5FC9" w:rsidP="007D5FC9">
      <w:pPr>
        <w:keepNext/>
        <w:numPr>
          <w:ilvl w:val="0"/>
          <w:numId w:val="1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RECOMMENDATIONS</w:t>
      </w:r>
    </w:p>
    <w:p w14:paraId="6A6C2E4D" w14:textId="77777777" w:rsidR="007D5FC9" w:rsidRPr="009C1143" w:rsidRDefault="007D5FC9" w:rsidP="007D5FC9">
      <w:pPr>
        <w:keepNext/>
        <w:outlineLvl w:val="0"/>
        <w:rPr>
          <w:b/>
          <w:szCs w:val="22"/>
        </w:rPr>
      </w:pPr>
    </w:p>
    <w:p w14:paraId="6A6C2E4E" w14:textId="77777777" w:rsidR="007D5FC9" w:rsidRPr="001B0F1F" w:rsidRDefault="007D5FC9" w:rsidP="0067440B">
      <w:pPr>
        <w:ind w:left="360"/>
        <w:rPr>
          <w:szCs w:val="22"/>
        </w:rPr>
      </w:pPr>
      <w:r w:rsidRPr="001B0F1F">
        <w:rPr>
          <w:szCs w:val="22"/>
        </w:rPr>
        <w:t xml:space="preserve">That members note the </w:t>
      </w:r>
      <w:r>
        <w:rPr>
          <w:szCs w:val="22"/>
        </w:rPr>
        <w:t>contents of the external auditors report (Appendix A).</w:t>
      </w:r>
    </w:p>
    <w:p w14:paraId="6A6C2E4F" w14:textId="77777777" w:rsidR="007D5FC9" w:rsidRPr="009C1143" w:rsidRDefault="007D5FC9" w:rsidP="007D5FC9">
      <w:pPr>
        <w:rPr>
          <w:i/>
          <w:color w:val="2E74B5"/>
          <w:szCs w:val="22"/>
        </w:rPr>
      </w:pPr>
    </w:p>
    <w:p w14:paraId="6A6C2E50" w14:textId="77777777" w:rsidR="007D5FC9" w:rsidRPr="009C1143" w:rsidRDefault="007D5FC9" w:rsidP="007D5FC9">
      <w:pPr>
        <w:rPr>
          <w:sz w:val="16"/>
          <w:szCs w:val="16"/>
        </w:rPr>
      </w:pPr>
    </w:p>
    <w:p w14:paraId="6A6C2E51" w14:textId="77777777" w:rsidR="007D5FC9" w:rsidRDefault="007D5FC9" w:rsidP="007D5FC9">
      <w:pPr>
        <w:keepNext/>
        <w:numPr>
          <w:ilvl w:val="0"/>
          <w:numId w:val="1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CORPORATE PRIORITIES</w:t>
      </w:r>
    </w:p>
    <w:p w14:paraId="6A6C2E52" w14:textId="77777777" w:rsidR="007D5FC9" w:rsidRPr="009C1143" w:rsidRDefault="007D5FC9" w:rsidP="007D5FC9">
      <w:pPr>
        <w:keepNext/>
        <w:outlineLvl w:val="0"/>
        <w:rPr>
          <w:b/>
          <w:szCs w:val="22"/>
        </w:rPr>
      </w:pPr>
    </w:p>
    <w:p w14:paraId="6A6C2E53" w14:textId="77777777" w:rsidR="0067440B" w:rsidRDefault="0067440B" w:rsidP="0067440B">
      <w:pPr>
        <w:keepNext/>
        <w:ind w:left="426"/>
        <w:outlineLvl w:val="0"/>
        <w:rPr>
          <w:b/>
          <w:szCs w:val="22"/>
        </w:rPr>
      </w:pPr>
      <w:r w:rsidRPr="008C04DA">
        <w:rPr>
          <w:szCs w:val="22"/>
        </w:rPr>
        <w:t>The report relates to the following corporate priorities</w:t>
      </w:r>
      <w:r>
        <w:rPr>
          <w:szCs w:val="22"/>
        </w:rPr>
        <w:t>:</w:t>
      </w:r>
      <w:r w:rsidRPr="008C04DA">
        <w:rPr>
          <w:b/>
          <w:szCs w:val="22"/>
        </w:rPr>
        <w:t xml:space="preserve"> </w:t>
      </w:r>
    </w:p>
    <w:p w14:paraId="6A6C2E54" w14:textId="77777777" w:rsidR="0067440B" w:rsidRPr="008C04DA" w:rsidRDefault="0067440B" w:rsidP="0067440B">
      <w:pPr>
        <w:keepNext/>
        <w:ind w:left="567"/>
        <w:outlineLvl w:val="0"/>
        <w:rPr>
          <w:b/>
          <w:szCs w:val="22"/>
        </w:rPr>
      </w:pPr>
    </w:p>
    <w:tbl>
      <w:tblPr>
        <w:tblW w:w="539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869"/>
      </w:tblGrid>
      <w:tr w:rsidR="0067440B" w14:paraId="6A6C2E57" w14:textId="77777777" w:rsidTr="008F2FBB">
        <w:trPr>
          <w:trHeight w:val="500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5" w14:textId="77777777" w:rsidR="0067440B" w:rsidRPr="00856B4E" w:rsidRDefault="0067440B" w:rsidP="008F2FBB">
            <w:pPr>
              <w:rPr>
                <w:rFonts w:ascii="Calibri" w:hAnsi="Calibri"/>
              </w:rPr>
            </w:pPr>
            <w:r>
              <w:t>Excellence and Financial Sustainability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6" w14:textId="77777777" w:rsidR="0067440B" w:rsidRDefault="0067440B" w:rsidP="008F2FBB">
            <w:pPr>
              <w:jc w:val="center"/>
              <w:rPr>
                <w:highlight w:val="yellow"/>
              </w:rPr>
            </w:pPr>
            <w:r w:rsidRPr="00080DEE">
              <w:sym w:font="Wingdings" w:char="F0FC"/>
            </w:r>
          </w:p>
        </w:tc>
      </w:tr>
      <w:tr w:rsidR="0067440B" w14:paraId="6A6C2E5A" w14:textId="77777777" w:rsidTr="008F2FBB">
        <w:trPr>
          <w:trHeight w:val="453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8" w14:textId="77777777" w:rsidR="0067440B" w:rsidRDefault="0067440B" w:rsidP="008F2FBB">
            <w:r>
              <w:t>Health and Wellbeing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9" w14:textId="77777777" w:rsidR="0067440B" w:rsidRDefault="0067440B" w:rsidP="008F2FBB">
            <w:pPr>
              <w:jc w:val="center"/>
              <w:rPr>
                <w:highlight w:val="yellow"/>
              </w:rPr>
            </w:pPr>
          </w:p>
        </w:tc>
      </w:tr>
      <w:tr w:rsidR="0067440B" w14:paraId="6A6C2E5D" w14:textId="77777777" w:rsidTr="008F2FBB">
        <w:trPr>
          <w:trHeight w:val="403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B" w14:textId="77777777" w:rsidR="0067440B" w:rsidRDefault="0067440B" w:rsidP="008F2FBB">
            <w:r>
              <w:t>Place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5C" w14:textId="77777777" w:rsidR="0067440B" w:rsidRDefault="0067440B" w:rsidP="008F2FBB">
            <w:pPr>
              <w:jc w:val="center"/>
            </w:pPr>
          </w:p>
        </w:tc>
      </w:tr>
    </w:tbl>
    <w:p w14:paraId="6A6C2E5E" w14:textId="77777777" w:rsidR="0067440B" w:rsidRPr="00080DEE" w:rsidRDefault="0067440B" w:rsidP="0067440B">
      <w:pPr>
        <w:rPr>
          <w:rFonts w:eastAsia="Calibri" w:cs="Arial"/>
          <w:szCs w:val="22"/>
          <w:lang w:eastAsia="en-US"/>
        </w:rPr>
      </w:pPr>
    </w:p>
    <w:p w14:paraId="6A6C2E5F" w14:textId="77777777" w:rsidR="0067440B" w:rsidRDefault="0067440B" w:rsidP="0067440B">
      <w:pPr>
        <w:ind w:firstLine="567"/>
        <w:rPr>
          <w:rFonts w:ascii="Calibri" w:hAnsi="Calibri"/>
        </w:rPr>
      </w:pPr>
      <w:r>
        <w:t>Projects relating to People in the Corporate Plan:</w:t>
      </w:r>
    </w:p>
    <w:p w14:paraId="6A6C2E60" w14:textId="77777777" w:rsidR="0067440B" w:rsidRDefault="0067440B" w:rsidP="0067440B">
      <w:pPr>
        <w:ind w:firstLine="720"/>
      </w:pPr>
    </w:p>
    <w:tbl>
      <w:tblPr>
        <w:tblW w:w="540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871"/>
      </w:tblGrid>
      <w:tr w:rsidR="0067440B" w14:paraId="6A6C2E63" w14:textId="77777777" w:rsidTr="008F2FBB">
        <w:trPr>
          <w:trHeight w:val="43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2E61" w14:textId="77777777" w:rsidR="0067440B" w:rsidRDefault="0067440B" w:rsidP="008F2FBB">
            <w:r>
              <w:t xml:space="preserve">People 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2E62" w14:textId="77777777" w:rsidR="0067440B" w:rsidRDefault="0067440B" w:rsidP="008F2FBB"/>
        </w:tc>
      </w:tr>
    </w:tbl>
    <w:p w14:paraId="6A6C2E64" w14:textId="77777777" w:rsidR="007D5FC9" w:rsidRDefault="007D5FC9" w:rsidP="007D5FC9">
      <w:pPr>
        <w:rPr>
          <w:szCs w:val="22"/>
        </w:rPr>
      </w:pPr>
    </w:p>
    <w:p w14:paraId="6A6C2E65" w14:textId="77777777" w:rsidR="0067440B" w:rsidRPr="009C1143" w:rsidRDefault="0067440B" w:rsidP="007D5FC9">
      <w:pPr>
        <w:rPr>
          <w:szCs w:val="22"/>
        </w:rPr>
      </w:pPr>
    </w:p>
    <w:p w14:paraId="6A6C2E66" w14:textId="77777777" w:rsidR="007D5FC9" w:rsidRDefault="007D5FC9" w:rsidP="007D5FC9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DETAILS</w:t>
      </w:r>
      <w:r w:rsidRPr="009C1143">
        <w:rPr>
          <w:b/>
          <w:szCs w:val="22"/>
        </w:rPr>
        <w:t xml:space="preserve"> </w:t>
      </w:r>
    </w:p>
    <w:p w14:paraId="6A6C2E67" w14:textId="77777777" w:rsidR="007D5FC9" w:rsidRDefault="007D5FC9" w:rsidP="007D5FC9">
      <w:pPr>
        <w:rPr>
          <w:b/>
          <w:szCs w:val="22"/>
        </w:rPr>
      </w:pPr>
    </w:p>
    <w:p w14:paraId="6A6C2E68" w14:textId="77777777" w:rsidR="007D5FC9" w:rsidRPr="0067440B" w:rsidRDefault="007D5FC9" w:rsidP="0067440B">
      <w:pPr>
        <w:ind w:left="360"/>
        <w:rPr>
          <w:szCs w:val="22"/>
        </w:rPr>
      </w:pPr>
      <w:r w:rsidRPr="0067440B">
        <w:rPr>
          <w:szCs w:val="22"/>
        </w:rPr>
        <w:t>The attached includes information in relation to the following:</w:t>
      </w:r>
    </w:p>
    <w:p w14:paraId="6A6C2E69" w14:textId="77777777" w:rsidR="007D5FC9" w:rsidRPr="0067440B" w:rsidRDefault="0067440B" w:rsidP="007D5FC9">
      <w:pPr>
        <w:numPr>
          <w:ilvl w:val="0"/>
          <w:numId w:val="4"/>
        </w:numPr>
        <w:rPr>
          <w:szCs w:val="22"/>
        </w:rPr>
      </w:pPr>
      <w:r w:rsidRPr="0067440B">
        <w:rPr>
          <w:szCs w:val="22"/>
        </w:rPr>
        <w:t xml:space="preserve">Respective responsibilities </w:t>
      </w:r>
      <w:r w:rsidR="007D5FC9" w:rsidRPr="0067440B">
        <w:rPr>
          <w:szCs w:val="22"/>
        </w:rPr>
        <w:t xml:space="preserve"> </w:t>
      </w:r>
    </w:p>
    <w:p w14:paraId="6A6C2E6A" w14:textId="77777777" w:rsidR="007D5FC9" w:rsidRPr="0067440B" w:rsidRDefault="0067440B" w:rsidP="007D5FC9">
      <w:pPr>
        <w:numPr>
          <w:ilvl w:val="0"/>
          <w:numId w:val="4"/>
        </w:numPr>
        <w:rPr>
          <w:szCs w:val="22"/>
        </w:rPr>
      </w:pPr>
      <w:r w:rsidRPr="0067440B">
        <w:rPr>
          <w:szCs w:val="22"/>
        </w:rPr>
        <w:t>Deep business understanding</w:t>
      </w:r>
    </w:p>
    <w:p w14:paraId="6A6C2E6B" w14:textId="77777777" w:rsidR="007D5FC9" w:rsidRPr="0067440B" w:rsidRDefault="0067440B" w:rsidP="007D5FC9">
      <w:pPr>
        <w:numPr>
          <w:ilvl w:val="0"/>
          <w:numId w:val="4"/>
        </w:numPr>
        <w:rPr>
          <w:szCs w:val="22"/>
        </w:rPr>
      </w:pPr>
      <w:r w:rsidRPr="0067440B">
        <w:rPr>
          <w:szCs w:val="22"/>
        </w:rPr>
        <w:t>Risks identified</w:t>
      </w:r>
    </w:p>
    <w:p w14:paraId="6A6C2E6C" w14:textId="77777777" w:rsidR="0067440B" w:rsidRPr="0067440B" w:rsidRDefault="0067440B" w:rsidP="007D5FC9">
      <w:pPr>
        <w:numPr>
          <w:ilvl w:val="0"/>
          <w:numId w:val="4"/>
        </w:numPr>
        <w:rPr>
          <w:szCs w:val="22"/>
        </w:rPr>
      </w:pPr>
      <w:r w:rsidRPr="0067440B">
        <w:rPr>
          <w:szCs w:val="22"/>
        </w:rPr>
        <w:t>Materiality levels</w:t>
      </w:r>
    </w:p>
    <w:p w14:paraId="6A6C2E6D" w14:textId="77777777" w:rsidR="007D5FC9" w:rsidRPr="0067440B" w:rsidRDefault="0067440B" w:rsidP="007D5FC9">
      <w:pPr>
        <w:numPr>
          <w:ilvl w:val="0"/>
          <w:numId w:val="4"/>
        </w:numPr>
        <w:rPr>
          <w:szCs w:val="22"/>
        </w:rPr>
      </w:pPr>
      <w:r w:rsidRPr="0067440B">
        <w:rPr>
          <w:szCs w:val="22"/>
        </w:rPr>
        <w:t>Value for Money (VFM) arrangements</w:t>
      </w:r>
    </w:p>
    <w:p w14:paraId="6A6C2E6E" w14:textId="77777777" w:rsidR="0067440B" w:rsidRPr="0067440B" w:rsidRDefault="0067440B" w:rsidP="007D5FC9">
      <w:pPr>
        <w:numPr>
          <w:ilvl w:val="0"/>
          <w:numId w:val="3"/>
        </w:numPr>
        <w:rPr>
          <w:szCs w:val="22"/>
        </w:rPr>
      </w:pPr>
      <w:r w:rsidRPr="0067440B">
        <w:rPr>
          <w:szCs w:val="22"/>
        </w:rPr>
        <w:t>Resourcing, timescales and Audit Fees</w:t>
      </w:r>
    </w:p>
    <w:p w14:paraId="6A6C2E6F" w14:textId="77777777" w:rsidR="007D5FC9" w:rsidRPr="0067440B" w:rsidRDefault="0067440B" w:rsidP="007D5FC9">
      <w:pPr>
        <w:numPr>
          <w:ilvl w:val="0"/>
          <w:numId w:val="3"/>
        </w:numPr>
        <w:rPr>
          <w:szCs w:val="22"/>
        </w:rPr>
      </w:pPr>
      <w:r w:rsidRPr="0067440B">
        <w:rPr>
          <w:szCs w:val="22"/>
        </w:rPr>
        <w:t>Early Closure requirements</w:t>
      </w:r>
    </w:p>
    <w:p w14:paraId="6A6C2E70" w14:textId="77777777" w:rsidR="007D5FC9" w:rsidRPr="009C1143" w:rsidRDefault="007D5FC9" w:rsidP="007D5FC9">
      <w:pPr>
        <w:ind w:left="360"/>
        <w:rPr>
          <w:i/>
          <w:color w:val="0070C0"/>
          <w:szCs w:val="22"/>
        </w:rPr>
      </w:pPr>
    </w:p>
    <w:p w14:paraId="6A6C2E71" w14:textId="77777777" w:rsidR="007D5FC9" w:rsidRPr="009C1143" w:rsidRDefault="007D5FC9" w:rsidP="007D5FC9">
      <w:pPr>
        <w:rPr>
          <w:b/>
          <w:szCs w:val="22"/>
        </w:rPr>
      </w:pPr>
    </w:p>
    <w:p w14:paraId="6A6C2E72" w14:textId="77777777" w:rsidR="007D5FC9" w:rsidRPr="009C1143" w:rsidRDefault="00513DEE" w:rsidP="007D5FC9">
      <w:pPr>
        <w:rPr>
          <w:b/>
          <w:szCs w:val="22"/>
        </w:rPr>
      </w:pPr>
      <w:r>
        <w:rPr>
          <w:b/>
          <w:szCs w:val="22"/>
        </w:rPr>
        <w:t>5</w:t>
      </w:r>
      <w:r w:rsidR="007D5FC9" w:rsidRPr="009C1143">
        <w:rPr>
          <w:b/>
          <w:szCs w:val="22"/>
        </w:rPr>
        <w:t>.   WIDER IMPLICATIONS AND BACKGROUND DOCUMENTATION</w:t>
      </w:r>
    </w:p>
    <w:p w14:paraId="6A6C2E73" w14:textId="77777777" w:rsidR="007D5FC9" w:rsidRDefault="007D5FC9" w:rsidP="007D5FC9">
      <w:pPr>
        <w:ind w:firstLine="360"/>
        <w:rPr>
          <w:b/>
          <w:szCs w:val="22"/>
        </w:rPr>
      </w:pPr>
    </w:p>
    <w:p w14:paraId="6A6C2E74" w14:textId="77777777" w:rsidR="007D5FC9" w:rsidRDefault="00513DEE" w:rsidP="007D5FC9">
      <w:pPr>
        <w:ind w:firstLine="360"/>
        <w:rPr>
          <w:b/>
          <w:szCs w:val="22"/>
        </w:rPr>
      </w:pPr>
      <w:r>
        <w:rPr>
          <w:b/>
          <w:szCs w:val="22"/>
        </w:rPr>
        <w:t>5</w:t>
      </w:r>
      <w:r w:rsidR="007D5FC9" w:rsidRPr="009C1143">
        <w:rPr>
          <w:b/>
          <w:szCs w:val="22"/>
        </w:rPr>
        <w:t>.1 Comments of the Statutory Finance Office</w:t>
      </w:r>
      <w:r w:rsidR="007D5FC9">
        <w:rPr>
          <w:b/>
          <w:szCs w:val="22"/>
        </w:rPr>
        <w:t>r</w:t>
      </w:r>
    </w:p>
    <w:p w14:paraId="6A6C2E75" w14:textId="77777777" w:rsidR="007D5FC9" w:rsidRDefault="007D5FC9" w:rsidP="007D5FC9">
      <w:pPr>
        <w:ind w:firstLine="360"/>
        <w:rPr>
          <w:b/>
          <w:szCs w:val="22"/>
        </w:rPr>
      </w:pPr>
    </w:p>
    <w:p w14:paraId="6A6C2E76" w14:textId="77777777" w:rsidR="00AF723E" w:rsidRDefault="004255EF" w:rsidP="00AF723E">
      <w:pPr>
        <w:spacing w:after="150"/>
        <w:ind w:left="426"/>
        <w:rPr>
          <w:rFonts w:cs="Arial"/>
          <w:szCs w:val="22"/>
        </w:rPr>
      </w:pPr>
      <w:r>
        <w:rPr>
          <w:rFonts w:cs="Arial"/>
          <w:color w:val="333333"/>
          <w:szCs w:val="22"/>
        </w:rPr>
        <w:t>In January, t</w:t>
      </w:r>
      <w:r w:rsidRPr="004255EF">
        <w:rPr>
          <w:rFonts w:cs="Arial"/>
          <w:color w:val="333333"/>
          <w:szCs w:val="22"/>
        </w:rPr>
        <w:t xml:space="preserve">he Committee considered a report of the Deputy </w:t>
      </w:r>
      <w:r w:rsidR="00AF723E">
        <w:rPr>
          <w:rFonts w:cs="Arial"/>
          <w:color w:val="333333"/>
          <w:szCs w:val="22"/>
        </w:rPr>
        <w:t>s</w:t>
      </w:r>
      <w:r w:rsidRPr="004255EF">
        <w:rPr>
          <w:rFonts w:cs="Arial"/>
          <w:color w:val="333333"/>
          <w:szCs w:val="22"/>
        </w:rPr>
        <w:t xml:space="preserve">151 Officer on the progress of the preparation for the closure of accounts </w:t>
      </w:r>
      <w:r w:rsidR="00AF723E">
        <w:rPr>
          <w:rFonts w:cs="Arial"/>
          <w:color w:val="333333"/>
          <w:szCs w:val="22"/>
        </w:rPr>
        <w:t xml:space="preserve">for </w:t>
      </w:r>
      <w:r w:rsidRPr="004255EF">
        <w:rPr>
          <w:rFonts w:cs="Arial"/>
          <w:color w:val="333333"/>
          <w:szCs w:val="22"/>
        </w:rPr>
        <w:t>2017/18</w:t>
      </w:r>
      <w:r w:rsidR="00AF723E">
        <w:rPr>
          <w:rFonts w:cs="Arial"/>
          <w:color w:val="333333"/>
          <w:szCs w:val="22"/>
        </w:rPr>
        <w:t>.</w:t>
      </w:r>
      <w:r w:rsidRPr="004255EF">
        <w:rPr>
          <w:rFonts w:cs="Arial"/>
          <w:color w:val="454545"/>
          <w:szCs w:val="22"/>
        </w:rPr>
        <w:t xml:space="preserve">The Committee was informed that the internal plan would take us to </w:t>
      </w:r>
      <w:r w:rsidR="00AF723E">
        <w:rPr>
          <w:rFonts w:cs="Arial"/>
          <w:color w:val="454545"/>
          <w:szCs w:val="22"/>
        </w:rPr>
        <w:t xml:space="preserve">the deadline of </w:t>
      </w:r>
      <w:r w:rsidRPr="004255EF">
        <w:rPr>
          <w:rFonts w:cs="Arial"/>
          <w:color w:val="454545"/>
          <w:szCs w:val="22"/>
        </w:rPr>
        <w:t xml:space="preserve">31 May 2018 </w:t>
      </w:r>
      <w:r w:rsidR="00AF723E">
        <w:rPr>
          <w:rFonts w:cs="Arial"/>
          <w:color w:val="454545"/>
          <w:szCs w:val="22"/>
        </w:rPr>
        <w:t xml:space="preserve">for </w:t>
      </w:r>
      <w:r w:rsidRPr="004255EF">
        <w:rPr>
          <w:rFonts w:cs="Arial"/>
          <w:color w:val="454545"/>
          <w:szCs w:val="22"/>
        </w:rPr>
        <w:t xml:space="preserve">when the Council had to produce the </w:t>
      </w:r>
      <w:r w:rsidR="00AF723E">
        <w:rPr>
          <w:rFonts w:cs="Arial"/>
          <w:color w:val="454545"/>
          <w:szCs w:val="22"/>
        </w:rPr>
        <w:t xml:space="preserve">Statement of Accounts </w:t>
      </w:r>
      <w:r w:rsidRPr="004255EF">
        <w:rPr>
          <w:rFonts w:cs="Arial"/>
          <w:color w:val="454545"/>
          <w:szCs w:val="22"/>
        </w:rPr>
        <w:t xml:space="preserve">together with the working papers which would be approved by the </w:t>
      </w:r>
      <w:r w:rsidR="00AF723E">
        <w:rPr>
          <w:rFonts w:cs="Arial"/>
          <w:color w:val="454545"/>
          <w:szCs w:val="22"/>
        </w:rPr>
        <w:t xml:space="preserve">Statutory </w:t>
      </w:r>
      <w:r w:rsidRPr="004255EF">
        <w:rPr>
          <w:rFonts w:cs="Arial"/>
          <w:color w:val="454545"/>
          <w:szCs w:val="22"/>
        </w:rPr>
        <w:t xml:space="preserve">Finance Officer. </w:t>
      </w:r>
      <w:r w:rsidR="00AF723E">
        <w:rPr>
          <w:rFonts w:cs="Arial"/>
          <w:color w:val="454545"/>
          <w:szCs w:val="22"/>
        </w:rPr>
        <w:t xml:space="preserve">The </w:t>
      </w:r>
      <w:r w:rsidRPr="004255EF">
        <w:rPr>
          <w:rFonts w:cs="Arial"/>
          <w:color w:val="454545"/>
          <w:szCs w:val="22"/>
        </w:rPr>
        <w:t xml:space="preserve">external audit would then formally commence the </w:t>
      </w:r>
      <w:r w:rsidR="00155039">
        <w:rPr>
          <w:rFonts w:cs="Arial"/>
          <w:color w:val="454545"/>
          <w:szCs w:val="22"/>
        </w:rPr>
        <w:t xml:space="preserve">main </w:t>
      </w:r>
      <w:r w:rsidRPr="004255EF">
        <w:rPr>
          <w:rFonts w:cs="Arial"/>
          <w:color w:val="454545"/>
          <w:szCs w:val="22"/>
        </w:rPr>
        <w:t>work on the accounts from 1 June 2018</w:t>
      </w:r>
      <w:r w:rsidR="00AF723E">
        <w:rPr>
          <w:rFonts w:cs="Arial"/>
          <w:color w:val="454545"/>
          <w:szCs w:val="22"/>
        </w:rPr>
        <w:t>.</w:t>
      </w:r>
      <w:r w:rsidRPr="004255EF">
        <w:rPr>
          <w:rFonts w:cs="Arial"/>
          <w:szCs w:val="22"/>
        </w:rPr>
        <w:t xml:space="preserve"> </w:t>
      </w:r>
    </w:p>
    <w:p w14:paraId="6A6C2E77" w14:textId="77777777" w:rsidR="00AF723E" w:rsidRDefault="00AF723E" w:rsidP="00AF723E">
      <w:pPr>
        <w:spacing w:after="150"/>
        <w:ind w:left="426"/>
        <w:rPr>
          <w:rFonts w:cs="Arial"/>
          <w:szCs w:val="22"/>
        </w:rPr>
      </w:pPr>
      <w:r>
        <w:rPr>
          <w:rFonts w:cs="Arial"/>
          <w:szCs w:val="22"/>
        </w:rPr>
        <w:t>The final statutory deadline for the p</w:t>
      </w:r>
      <w:r w:rsidRPr="00AF723E">
        <w:rPr>
          <w:rFonts w:eastAsiaTheme="minorHAnsi" w:cs="Arial"/>
          <w:szCs w:val="22"/>
          <w:lang w:eastAsia="en-US"/>
        </w:rPr>
        <w:t xml:space="preserve">ublication of </w:t>
      </w:r>
      <w:r>
        <w:rPr>
          <w:rFonts w:eastAsiaTheme="minorHAnsi" w:cs="Arial"/>
          <w:szCs w:val="22"/>
          <w:lang w:eastAsia="en-US"/>
        </w:rPr>
        <w:t xml:space="preserve">the 2017/18 </w:t>
      </w:r>
      <w:r w:rsidRPr="00AF723E">
        <w:rPr>
          <w:rFonts w:eastAsiaTheme="minorHAnsi" w:cs="Arial"/>
          <w:szCs w:val="22"/>
          <w:lang w:eastAsia="en-US"/>
        </w:rPr>
        <w:t xml:space="preserve">Accounts with </w:t>
      </w:r>
      <w:r w:rsidR="00155039">
        <w:rPr>
          <w:rFonts w:eastAsiaTheme="minorHAnsi" w:cs="Arial"/>
          <w:szCs w:val="22"/>
          <w:lang w:eastAsia="en-US"/>
        </w:rPr>
        <w:t xml:space="preserve">the external </w:t>
      </w:r>
      <w:r w:rsidRPr="00AF723E">
        <w:rPr>
          <w:rFonts w:eastAsiaTheme="minorHAnsi" w:cs="Arial"/>
          <w:szCs w:val="22"/>
          <w:lang w:eastAsia="en-US"/>
        </w:rPr>
        <w:t>audit opinion and certificate</w:t>
      </w:r>
      <w:r>
        <w:rPr>
          <w:rFonts w:cs="Arial"/>
          <w:szCs w:val="22"/>
        </w:rPr>
        <w:t xml:space="preserve"> is 31 July 2018.  </w:t>
      </w:r>
    </w:p>
    <w:p w14:paraId="6A6C2E78" w14:textId="77777777" w:rsidR="007D5FC9" w:rsidRPr="007B612C" w:rsidRDefault="007D5FC9" w:rsidP="007D5FC9">
      <w:pPr>
        <w:ind w:firstLine="360"/>
        <w:rPr>
          <w:szCs w:val="22"/>
        </w:rPr>
      </w:pPr>
    </w:p>
    <w:p w14:paraId="6A6C2E79" w14:textId="77777777" w:rsidR="007D5FC9" w:rsidRDefault="00513DEE" w:rsidP="007D5FC9">
      <w:pPr>
        <w:ind w:firstLine="360"/>
        <w:rPr>
          <w:b/>
          <w:szCs w:val="22"/>
        </w:rPr>
      </w:pPr>
      <w:r>
        <w:rPr>
          <w:b/>
          <w:szCs w:val="22"/>
        </w:rPr>
        <w:t>5</w:t>
      </w:r>
      <w:r w:rsidR="007D5FC9" w:rsidRPr="009C1143">
        <w:rPr>
          <w:b/>
          <w:szCs w:val="22"/>
        </w:rPr>
        <w:t xml:space="preserve">.2 Comments of the </w:t>
      </w:r>
      <w:r w:rsidR="007D5FC9">
        <w:rPr>
          <w:b/>
          <w:szCs w:val="22"/>
        </w:rPr>
        <w:t>Monitoring Officer</w:t>
      </w:r>
    </w:p>
    <w:p w14:paraId="6A6C2E7A" w14:textId="77777777" w:rsidR="007D5FC9" w:rsidRPr="009C1143" w:rsidRDefault="007D5FC9" w:rsidP="007D5FC9">
      <w:pPr>
        <w:ind w:firstLine="360"/>
        <w:rPr>
          <w:b/>
          <w:szCs w:val="22"/>
        </w:rPr>
      </w:pPr>
    </w:p>
    <w:p w14:paraId="6A6C2E7B" w14:textId="77777777" w:rsidR="007D5FC9" w:rsidRPr="005B09B5" w:rsidRDefault="007D5FC9" w:rsidP="00741D04">
      <w:pPr>
        <w:ind w:left="426"/>
        <w:rPr>
          <w:rFonts w:eastAsia="PMingLiU" w:cs="Arial"/>
          <w:sz w:val="24"/>
        </w:rPr>
      </w:pPr>
      <w:r w:rsidRPr="005B09B5">
        <w:rPr>
          <w:rFonts w:eastAsia="PMingLiU" w:cs="Arial"/>
        </w:rPr>
        <w:t>There are no legal implications arising as the report is essentially for information</w:t>
      </w:r>
      <w:r>
        <w:rPr>
          <w:rFonts w:eastAsia="PMingLiU" w:cs="Arial"/>
        </w:rPr>
        <w:t>.</w:t>
      </w:r>
      <w:r w:rsidRPr="005B09B5">
        <w:rPr>
          <w:rFonts w:eastAsia="PMingLiU" w:cs="Arial"/>
        </w:rPr>
        <w:t> </w:t>
      </w:r>
    </w:p>
    <w:p w14:paraId="6A6C2E7C" w14:textId="77777777" w:rsidR="007D5FC9" w:rsidRPr="009C1143" w:rsidRDefault="007D5FC9" w:rsidP="007D5FC9">
      <w:pPr>
        <w:ind w:firstLine="360"/>
        <w:rPr>
          <w:b/>
          <w:szCs w:val="22"/>
        </w:rPr>
      </w:pPr>
    </w:p>
    <w:p w14:paraId="6A6C2E7D" w14:textId="77777777" w:rsidR="007D5FC9" w:rsidRPr="009C1143" w:rsidRDefault="007D5FC9" w:rsidP="007D5FC9">
      <w:pPr>
        <w:ind w:firstLine="360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D5FC9" w:rsidRPr="00851B9A" w14:paraId="6A6C2E8C" w14:textId="77777777" w:rsidTr="008F2FBB">
        <w:trPr>
          <w:trHeight w:val="3660"/>
        </w:trPr>
        <w:tc>
          <w:tcPr>
            <w:tcW w:w="3544" w:type="dxa"/>
            <w:shd w:val="clear" w:color="auto" w:fill="auto"/>
          </w:tcPr>
          <w:p w14:paraId="6A6C2E7E" w14:textId="77777777" w:rsidR="007D5FC9" w:rsidRPr="009C1143" w:rsidRDefault="007D5FC9" w:rsidP="008F2FBB">
            <w:pPr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 xml:space="preserve">Other implications: </w:t>
            </w:r>
          </w:p>
          <w:p w14:paraId="6A6C2E7F" w14:textId="77777777" w:rsidR="007D5FC9" w:rsidRPr="009C1143" w:rsidRDefault="007D5FC9" w:rsidP="008F2FBB">
            <w:pPr>
              <w:rPr>
                <w:b/>
                <w:szCs w:val="22"/>
              </w:rPr>
            </w:pPr>
          </w:p>
          <w:p w14:paraId="6A6C2E80" w14:textId="77777777" w:rsidR="007D5FC9" w:rsidRPr="009C1143" w:rsidRDefault="007D5FC9" w:rsidP="007D5FC9">
            <w:pPr>
              <w:numPr>
                <w:ilvl w:val="0"/>
                <w:numId w:val="2"/>
              </w:numPr>
              <w:ind w:left="360"/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>Risk</w:t>
            </w:r>
          </w:p>
          <w:p w14:paraId="6A6C2E81" w14:textId="77777777" w:rsidR="007D5FC9" w:rsidRPr="009C1143" w:rsidRDefault="007D5FC9" w:rsidP="008F2FBB">
            <w:pPr>
              <w:rPr>
                <w:b/>
                <w:szCs w:val="22"/>
              </w:rPr>
            </w:pPr>
          </w:p>
          <w:p w14:paraId="6A6C2E82" w14:textId="77777777" w:rsidR="007D5FC9" w:rsidRPr="009C1143" w:rsidRDefault="007D5FC9" w:rsidP="007D5FC9">
            <w:pPr>
              <w:numPr>
                <w:ilvl w:val="0"/>
                <w:numId w:val="2"/>
              </w:numPr>
              <w:ind w:left="360"/>
              <w:rPr>
                <w:b/>
                <w:szCs w:val="22"/>
              </w:rPr>
            </w:pPr>
            <w:r w:rsidRPr="009C1143">
              <w:rPr>
                <w:b/>
                <w:szCs w:val="22"/>
              </w:rPr>
              <w:t>Equality</w:t>
            </w:r>
            <w:r>
              <w:rPr>
                <w:b/>
                <w:szCs w:val="22"/>
              </w:rPr>
              <w:t xml:space="preserve"> &amp; Diversity</w:t>
            </w:r>
          </w:p>
          <w:p w14:paraId="6A6C2E83" w14:textId="77777777" w:rsidR="007D5FC9" w:rsidRPr="009C1143" w:rsidRDefault="007D5FC9" w:rsidP="008F2FBB">
            <w:pPr>
              <w:rPr>
                <w:b/>
                <w:szCs w:val="22"/>
              </w:rPr>
            </w:pPr>
          </w:p>
          <w:p w14:paraId="6A6C2E84" w14:textId="77777777" w:rsidR="007D5FC9" w:rsidRDefault="007D5FC9" w:rsidP="007D5FC9">
            <w:pPr>
              <w:numPr>
                <w:ilvl w:val="0"/>
                <w:numId w:val="2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HR &amp; Organisational Development </w:t>
            </w:r>
          </w:p>
          <w:p w14:paraId="6A6C2E85" w14:textId="77777777" w:rsidR="007D5FC9" w:rsidRDefault="007D5FC9" w:rsidP="008F2FBB">
            <w:pPr>
              <w:ind w:left="360"/>
              <w:rPr>
                <w:b/>
                <w:szCs w:val="22"/>
              </w:rPr>
            </w:pPr>
          </w:p>
          <w:p w14:paraId="6A6C2E86" w14:textId="77777777" w:rsidR="007D5FC9" w:rsidRDefault="007D5FC9" w:rsidP="007D5FC9">
            <w:pPr>
              <w:numPr>
                <w:ilvl w:val="0"/>
                <w:numId w:val="2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Property &amp; Asset Management</w:t>
            </w:r>
          </w:p>
          <w:p w14:paraId="6A6C2E87" w14:textId="77777777" w:rsidR="007D5FC9" w:rsidRDefault="007D5FC9" w:rsidP="008F2FBB">
            <w:pPr>
              <w:ind w:left="360"/>
              <w:rPr>
                <w:b/>
                <w:szCs w:val="22"/>
              </w:rPr>
            </w:pPr>
          </w:p>
          <w:p w14:paraId="6A6C2E88" w14:textId="77777777" w:rsidR="007D5FC9" w:rsidRPr="009C1143" w:rsidRDefault="007D5FC9" w:rsidP="007D5FC9">
            <w:pPr>
              <w:numPr>
                <w:ilvl w:val="0"/>
                <w:numId w:val="2"/>
              </w:numPr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ICT / Technology</w:t>
            </w:r>
          </w:p>
          <w:p w14:paraId="6A6C2E89" w14:textId="77777777" w:rsidR="007D5FC9" w:rsidRPr="009C1143" w:rsidRDefault="007D5FC9" w:rsidP="008F2FBB">
            <w:pPr>
              <w:rPr>
                <w:b/>
                <w:szCs w:val="22"/>
              </w:rPr>
            </w:pPr>
          </w:p>
          <w:p w14:paraId="6A6C2E8A" w14:textId="77777777" w:rsidR="007D5FC9" w:rsidRPr="009C1143" w:rsidRDefault="007D5FC9" w:rsidP="008F2FBB">
            <w:pPr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6C2E8B" w14:textId="77777777" w:rsidR="007D5FC9" w:rsidRPr="00851B9A" w:rsidRDefault="00741D04" w:rsidP="00741D04">
            <w:pPr>
              <w:rPr>
                <w:szCs w:val="22"/>
              </w:rPr>
            </w:pPr>
            <w:r w:rsidRPr="007B612C">
              <w:rPr>
                <w:szCs w:val="22"/>
              </w:rPr>
              <w:t xml:space="preserve">The attached report is for information only </w:t>
            </w:r>
            <w:r w:rsidR="007D5FC9" w:rsidRPr="00851B9A">
              <w:rPr>
                <w:szCs w:val="22"/>
              </w:rPr>
              <w:t>and therefore there are no direct implications</w:t>
            </w:r>
            <w:r>
              <w:rPr>
                <w:szCs w:val="22"/>
              </w:rPr>
              <w:t>.</w:t>
            </w:r>
          </w:p>
        </w:tc>
      </w:tr>
    </w:tbl>
    <w:p w14:paraId="6A6C2E8D" w14:textId="77777777" w:rsidR="007D5FC9" w:rsidRPr="009C1143" w:rsidRDefault="007D5FC9" w:rsidP="007D5FC9">
      <w:pPr>
        <w:rPr>
          <w:i/>
          <w:color w:val="2E74B5"/>
          <w:szCs w:val="22"/>
        </w:rPr>
      </w:pPr>
    </w:p>
    <w:p w14:paraId="6A6C2E8E" w14:textId="77777777" w:rsidR="007D5FC9" w:rsidRPr="009C1143" w:rsidRDefault="007D5FC9" w:rsidP="007D5FC9">
      <w:pPr>
        <w:rPr>
          <w:szCs w:val="22"/>
        </w:rPr>
      </w:pPr>
      <w:r w:rsidRPr="009C1143">
        <w:rPr>
          <w:i/>
          <w:color w:val="2E74B5"/>
          <w:szCs w:val="22"/>
        </w:rPr>
        <w:t xml:space="preserve"> </w:t>
      </w:r>
      <w:r w:rsidRPr="009C1143">
        <w:rPr>
          <w:szCs w:val="22"/>
        </w:rPr>
        <w:tab/>
      </w:r>
    </w:p>
    <w:p w14:paraId="6A6C2E8F" w14:textId="77777777" w:rsidR="007D5FC9" w:rsidRDefault="00513DEE" w:rsidP="007D5FC9">
      <w:pPr>
        <w:rPr>
          <w:b/>
          <w:szCs w:val="22"/>
        </w:rPr>
      </w:pPr>
      <w:r>
        <w:rPr>
          <w:b/>
          <w:szCs w:val="22"/>
        </w:rPr>
        <w:t>6</w:t>
      </w:r>
      <w:r w:rsidR="007D5FC9" w:rsidRPr="009C1143">
        <w:rPr>
          <w:b/>
          <w:szCs w:val="22"/>
        </w:rPr>
        <w:t xml:space="preserve">.  BACKGROUND DOCUMENTS </w:t>
      </w:r>
    </w:p>
    <w:p w14:paraId="6A6C2E90" w14:textId="77777777" w:rsidR="007D5FC9" w:rsidRDefault="007D5FC9" w:rsidP="007D5FC9">
      <w:pPr>
        <w:rPr>
          <w:b/>
          <w:szCs w:val="22"/>
        </w:rPr>
      </w:pPr>
    </w:p>
    <w:p w14:paraId="6A6C2E91" w14:textId="77777777" w:rsidR="007D5FC9" w:rsidRPr="006C6A23" w:rsidRDefault="007D5FC9" w:rsidP="007D5FC9">
      <w:pPr>
        <w:tabs>
          <w:tab w:val="left" w:pos="2839"/>
        </w:tabs>
        <w:rPr>
          <w:i/>
          <w:color w:val="FF0000"/>
          <w:szCs w:val="22"/>
        </w:rPr>
      </w:pPr>
    </w:p>
    <w:p w14:paraId="6A6C2E92" w14:textId="77777777" w:rsidR="007D5FC9" w:rsidRPr="0067440B" w:rsidRDefault="007D5FC9" w:rsidP="007D5FC9">
      <w:pPr>
        <w:tabs>
          <w:tab w:val="left" w:pos="2839"/>
        </w:tabs>
        <w:rPr>
          <w:szCs w:val="22"/>
        </w:rPr>
      </w:pPr>
      <w:r w:rsidRPr="0067440B">
        <w:rPr>
          <w:szCs w:val="22"/>
        </w:rPr>
        <w:t xml:space="preserve">Appendix A: </w:t>
      </w:r>
      <w:r w:rsidR="0067440B" w:rsidRPr="0067440B">
        <w:rPr>
          <w:szCs w:val="22"/>
        </w:rPr>
        <w:t>External Audit Plan – Year ending 31 March 2018</w:t>
      </w:r>
      <w:r w:rsidRPr="0067440B">
        <w:rPr>
          <w:szCs w:val="22"/>
        </w:rPr>
        <w:t xml:space="preserve"> (Grant Thornton)</w:t>
      </w:r>
    </w:p>
    <w:p w14:paraId="6A6C2E93" w14:textId="77777777" w:rsidR="007D5FC9" w:rsidRDefault="007D5FC9" w:rsidP="007D5FC9">
      <w:pPr>
        <w:tabs>
          <w:tab w:val="left" w:pos="2839"/>
        </w:tabs>
        <w:rPr>
          <w:szCs w:val="22"/>
        </w:rPr>
      </w:pPr>
    </w:p>
    <w:p w14:paraId="6A6C2E94" w14:textId="77777777" w:rsidR="007D5FC9" w:rsidRDefault="007D5FC9" w:rsidP="007D5FC9">
      <w:pPr>
        <w:tabs>
          <w:tab w:val="left" w:pos="2839"/>
        </w:tabs>
        <w:rPr>
          <w:szCs w:val="22"/>
        </w:rPr>
      </w:pPr>
    </w:p>
    <w:p w14:paraId="6A6C2E95" w14:textId="77777777" w:rsidR="007D5FC9" w:rsidRPr="003A2919" w:rsidRDefault="007D5FC9" w:rsidP="007D5FC9">
      <w:pPr>
        <w:tabs>
          <w:tab w:val="left" w:pos="2839"/>
        </w:tabs>
        <w:rPr>
          <w:szCs w:val="22"/>
        </w:rPr>
      </w:pPr>
    </w:p>
    <w:p w14:paraId="6A6C2E96" w14:textId="77777777" w:rsidR="007D5FC9" w:rsidRDefault="007D5FC9" w:rsidP="007D5FC9">
      <w:pPr>
        <w:tabs>
          <w:tab w:val="left" w:pos="2839"/>
        </w:tabs>
        <w:ind w:left="720"/>
        <w:rPr>
          <w:b/>
          <w:szCs w:val="22"/>
        </w:rPr>
      </w:pPr>
    </w:p>
    <w:p w14:paraId="6A6C2E97" w14:textId="77777777" w:rsidR="007D5FC9" w:rsidRDefault="007D5FC9" w:rsidP="007D5FC9">
      <w:pPr>
        <w:tabs>
          <w:tab w:val="left" w:pos="2839"/>
        </w:tabs>
        <w:ind w:left="426" w:hanging="426"/>
        <w:rPr>
          <w:rFonts w:cs="Arial"/>
          <w:color w:val="0070C0"/>
        </w:rPr>
      </w:pPr>
    </w:p>
    <w:p w14:paraId="6A6C2E98" w14:textId="77777777" w:rsidR="007D5FC9" w:rsidRPr="00F24DBD" w:rsidRDefault="007D5FC9" w:rsidP="007D5FC9">
      <w:pPr>
        <w:tabs>
          <w:tab w:val="left" w:pos="2839"/>
        </w:tabs>
        <w:ind w:left="426" w:hanging="426"/>
        <w:rPr>
          <w:rFonts w:cs="Arial"/>
        </w:rPr>
      </w:pPr>
      <w:r w:rsidRPr="00F24DBD">
        <w:rPr>
          <w:rFonts w:cs="Arial"/>
        </w:rPr>
        <w:t xml:space="preserve">SMT Member’s Name: </w:t>
      </w:r>
      <w:r>
        <w:rPr>
          <w:rFonts w:cs="Arial"/>
        </w:rPr>
        <w:t xml:space="preserve">Lisa Kitto </w:t>
      </w:r>
    </w:p>
    <w:p w14:paraId="6A6C2E99" w14:textId="77777777" w:rsidR="007D5FC9" w:rsidRDefault="007D5FC9" w:rsidP="007D5FC9">
      <w:pPr>
        <w:tabs>
          <w:tab w:val="left" w:pos="2839"/>
        </w:tabs>
        <w:rPr>
          <w:rFonts w:cs="Arial"/>
        </w:rPr>
      </w:pPr>
      <w:r w:rsidRPr="00F24DBD">
        <w:rPr>
          <w:rFonts w:cs="Arial"/>
        </w:rPr>
        <w:t xml:space="preserve">Job Title: </w:t>
      </w:r>
      <w:r>
        <w:rPr>
          <w:rFonts w:cs="Arial"/>
        </w:rPr>
        <w:t>Deputy Chief Executive (Resources &amp; Transformation)</w:t>
      </w:r>
    </w:p>
    <w:p w14:paraId="6A6C2E9A" w14:textId="77777777" w:rsidR="007D5FC9" w:rsidRPr="007F1945" w:rsidRDefault="007D5FC9" w:rsidP="007D5FC9">
      <w:pPr>
        <w:tabs>
          <w:tab w:val="left" w:pos="2839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1554"/>
        <w:gridCol w:w="2355"/>
      </w:tblGrid>
      <w:tr w:rsidR="007D5FC9" w14:paraId="6A6C2E9E" w14:textId="77777777" w:rsidTr="008F2FBB">
        <w:tc>
          <w:tcPr>
            <w:tcW w:w="5700" w:type="dxa"/>
            <w:shd w:val="clear" w:color="auto" w:fill="auto"/>
          </w:tcPr>
          <w:p w14:paraId="6A6C2E9B" w14:textId="77777777" w:rsidR="007D5FC9" w:rsidRPr="0031059E" w:rsidRDefault="007D5FC9" w:rsidP="008F2FBB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6A6C2E9C" w14:textId="77777777" w:rsidR="007D5FC9" w:rsidRPr="0031059E" w:rsidRDefault="007D5FC9" w:rsidP="008F2FBB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6A6C2E9D" w14:textId="77777777" w:rsidR="007D5FC9" w:rsidRPr="0031059E" w:rsidRDefault="007D5FC9" w:rsidP="008F2FBB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7D5FC9" w14:paraId="6A6C2EA3" w14:textId="77777777" w:rsidTr="008F2FBB">
        <w:tc>
          <w:tcPr>
            <w:tcW w:w="5700" w:type="dxa"/>
            <w:shd w:val="clear" w:color="auto" w:fill="auto"/>
          </w:tcPr>
          <w:p w14:paraId="6A6C2E9F" w14:textId="77777777" w:rsidR="007D5FC9" w:rsidRDefault="007D5FC9" w:rsidP="008F2FBB">
            <w:pPr>
              <w:ind w:left="-539" w:firstLine="539"/>
              <w:rPr>
                <w:rFonts w:cs="Arial"/>
              </w:rPr>
            </w:pPr>
            <w:r>
              <w:rPr>
                <w:rFonts w:cs="Arial"/>
              </w:rPr>
              <w:t>Jane Blundell</w:t>
            </w:r>
          </w:p>
          <w:p w14:paraId="6A6C2EA0" w14:textId="77777777" w:rsidR="007D5FC9" w:rsidRPr="0031059E" w:rsidRDefault="007D5FC9" w:rsidP="008F2FBB">
            <w:pPr>
              <w:ind w:left="-539" w:firstLine="539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A6C2EA1" w14:textId="77777777" w:rsidR="007D5FC9" w:rsidRPr="0031059E" w:rsidRDefault="007D5FC9" w:rsidP="008F2FBB">
            <w:pPr>
              <w:rPr>
                <w:rFonts w:cs="Arial"/>
              </w:rPr>
            </w:pPr>
            <w:r>
              <w:rPr>
                <w:rFonts w:cs="Arial"/>
              </w:rPr>
              <w:t>01772 625245</w:t>
            </w:r>
          </w:p>
        </w:tc>
        <w:tc>
          <w:tcPr>
            <w:tcW w:w="2380" w:type="dxa"/>
            <w:shd w:val="clear" w:color="auto" w:fill="auto"/>
          </w:tcPr>
          <w:p w14:paraId="6A6C2EA2" w14:textId="77777777" w:rsidR="007D5FC9" w:rsidRPr="0031059E" w:rsidRDefault="007D5FC9" w:rsidP="008F2FBB">
            <w:pPr>
              <w:rPr>
                <w:rFonts w:cs="Arial"/>
              </w:rPr>
            </w:pPr>
            <w:r>
              <w:rPr>
                <w:rFonts w:cs="Arial"/>
              </w:rPr>
              <w:t>04/04/18</w:t>
            </w:r>
          </w:p>
        </w:tc>
      </w:tr>
    </w:tbl>
    <w:p w14:paraId="6A6C2EA4" w14:textId="77777777" w:rsidR="007D5FC9" w:rsidRDefault="007D5FC9" w:rsidP="007D5FC9">
      <w:pPr>
        <w:rPr>
          <w:rFonts w:cs="Arial"/>
        </w:rPr>
      </w:pPr>
    </w:p>
    <w:p w14:paraId="6A6C2EA5" w14:textId="77777777" w:rsidR="007D5FC9" w:rsidRPr="009725FB" w:rsidRDefault="007D5FC9" w:rsidP="007D5FC9">
      <w:pPr>
        <w:tabs>
          <w:tab w:val="left" w:pos="2839"/>
        </w:tabs>
        <w:rPr>
          <w:rFonts w:cs="Arial"/>
        </w:rPr>
      </w:pPr>
    </w:p>
    <w:p w14:paraId="6A6C2EA6" w14:textId="77777777" w:rsidR="004D7C14" w:rsidRDefault="004D7C14"/>
    <w:sectPr w:rsidR="004D7C14" w:rsidSect="007D5FC9">
      <w:footerReference w:type="default" r:id="rId8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2EAB" w14:textId="77777777" w:rsidR="003E3D2B" w:rsidRDefault="00513DEE">
      <w:r>
        <w:separator/>
      </w:r>
    </w:p>
  </w:endnote>
  <w:endnote w:type="continuationSeparator" w:id="0">
    <w:p w14:paraId="6A6C2EAC" w14:textId="77777777" w:rsidR="003E3D2B" w:rsidRDefault="0051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2EAD" w14:textId="77777777" w:rsidR="00FD7B65" w:rsidRPr="00FD7B65" w:rsidRDefault="00155039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935B3C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14:paraId="6A6C2EAE" w14:textId="77777777" w:rsidR="00FD7B65" w:rsidRDefault="0093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2EA9" w14:textId="77777777" w:rsidR="003E3D2B" w:rsidRDefault="00513DEE">
      <w:r>
        <w:separator/>
      </w:r>
    </w:p>
  </w:footnote>
  <w:footnote w:type="continuationSeparator" w:id="0">
    <w:p w14:paraId="6A6C2EAA" w14:textId="77777777" w:rsidR="003E3D2B" w:rsidRDefault="0051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404991"/>
    <w:multiLevelType w:val="hybridMultilevel"/>
    <w:tmpl w:val="1832A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2A7615"/>
    <w:multiLevelType w:val="hybridMultilevel"/>
    <w:tmpl w:val="A09AA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9"/>
    <w:rsid w:val="00155039"/>
    <w:rsid w:val="003E3D2B"/>
    <w:rsid w:val="004255EF"/>
    <w:rsid w:val="004D7C14"/>
    <w:rsid w:val="00513DEE"/>
    <w:rsid w:val="0067440B"/>
    <w:rsid w:val="006C6A23"/>
    <w:rsid w:val="00741D04"/>
    <w:rsid w:val="007D5FC9"/>
    <w:rsid w:val="00935B3C"/>
    <w:rsid w:val="00A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2E2F"/>
  <w15:chartTrackingRefBased/>
  <w15:docId w15:val="{01E7B3A1-8C45-454A-916A-0F19D9B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C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5F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C9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79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Blundell, Jane</dc:creator>
  <cp:keywords/>
  <dc:description/>
  <cp:lastModifiedBy>Scambler, Dianne</cp:lastModifiedBy>
  <cp:revision>7</cp:revision>
  <dcterms:created xsi:type="dcterms:W3CDTF">2018-04-04T08:56:00Z</dcterms:created>
  <dcterms:modified xsi:type="dcterms:W3CDTF">2018-04-10T10:51:00Z</dcterms:modified>
</cp:coreProperties>
</file>